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30j0zll"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36"/>
        </w:tabs>
        <w:spacing w:after="220" w:before="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procedure set out in Paragraph 2 below.</w:t>
      </w:r>
    </w:p>
    <w:p w:rsidR="00000000" w:rsidDel="00000000" w:rsidP="00000000" w:rsidRDefault="00000000" w:rsidRPr="00000000" w14:paraId="0000000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36"/>
        </w:tabs>
        <w:spacing w:after="220" w:before="0" w:line="240" w:lineRule="auto"/>
        <w:ind w:left="9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536"/>
        </w:tabs>
        <w:spacing w:after="22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Direct Ordering without a further competition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36"/>
        </w:tabs>
        <w:spacing w:after="220" w:before="0" w:line="240" w:lineRule="auto"/>
        <w:ind w:left="36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option is not applicable to this framework </w:t>
      </w:r>
    </w:p>
    <w:p w:rsidR="00000000" w:rsidDel="00000000" w:rsidP="00000000" w:rsidRDefault="00000000" w:rsidRPr="00000000" w14:paraId="0000001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1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7">
      <w:pPr>
        <w:keepNext w:val="1"/>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1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A">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2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2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3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7.5, the date and time of the start of the Electronic Reverse Auction; and</w:t>
      </w:r>
    </w:p>
    <w:p w:rsidR="00000000" w:rsidDel="00000000" w:rsidP="00000000" w:rsidRDefault="00000000" w:rsidRPr="00000000" w14:paraId="0000004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4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5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w:t>
      </w:r>
    </w:p>
    <w:p w:rsidR="00000000" w:rsidDel="00000000" w:rsidP="00000000" w:rsidRDefault="00000000" w:rsidRPr="00000000" w14:paraId="00000058">
      <w:pPr>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36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DIRECT ORDERING WITHOUT A FURTHER COMPETITION </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Not applicable </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Further Competition Award Criteria</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tenders received through the Further Competition Procedure:</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5"/>
        <w:gridCol w:w="2719"/>
        <w:gridCol w:w="5052"/>
        <w:tblGridChange w:id="0">
          <w:tblGrid>
            <w:gridCol w:w="1245"/>
            <w:gridCol w:w="2719"/>
            <w:gridCol w:w="5052"/>
          </w:tblGrid>
        </w:tblGridChange>
      </w:tblGrid>
      <w:tr>
        <w:trPr>
          <w:cantSplit w:val="0"/>
          <w:trHeight w:val="734" w:hRule="atLeast"/>
          <w:tblHeader w:val="0"/>
        </w:trPr>
        <w:tc>
          <w:tcPr>
            <w:gridSpan w:val="3"/>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5E">
            <w:pPr>
              <w:widowControl w:val="1"/>
              <w:spacing w:before="240" w:lineRule="auto"/>
              <w:jc w:val="center"/>
              <w:rPr>
                <w:rFonts w:ascii="Times New Roman" w:cs="Times New Roman" w:eastAsia="Times New Roman" w:hAnsi="Times New Roman"/>
                <w:sz w:val="24"/>
                <w:szCs w:val="24"/>
              </w:rPr>
            </w:pP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LOT 1 Water Supply and Sewerage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61">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62">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63">
            <w:pPr>
              <w:widowControl w:val="1"/>
              <w:spacing w:before="240" w:lineRule="auto"/>
              <w:ind w:left="142"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Percentage Weightings (or rank order of importance where applicable) - to be set by the Contracting Authority conducting the further competition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64">
            <w:pPr>
              <w:widowControl w:val="1"/>
              <w:spacing w:after="120" w:before="240" w:lineRule="auto"/>
              <w:rPr>
                <w:rFonts w:ascii="Times New Roman" w:cs="Times New Roman" w:eastAsia="Times New Roman" w:hAnsi="Times New Roman"/>
                <w:sz w:val="24"/>
                <w:szCs w:val="24"/>
              </w:rPr>
            </w:pPr>
            <w:r w:rsidDel="00000000" w:rsidR="00000000" w:rsidRPr="00000000">
              <w:rPr>
                <w:color w:val="000000"/>
                <w:rtl w:val="0"/>
              </w:rPr>
              <w:t xml:space="preserve">  Price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66">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80%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7">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8">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Supply of Water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9">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At least 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A">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B">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Waste Water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C">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At least 30%</w:t>
            </w:r>
            <w:r w:rsidDel="00000000" w:rsidR="00000000" w:rsidRPr="00000000">
              <w:rPr>
                <w:rtl w:val="0"/>
              </w:rPr>
            </w:r>
          </w:p>
        </w:tc>
      </w:tr>
      <w:tr>
        <w:trPr>
          <w:cantSplit w:val="0"/>
          <w:trHeight w:val="4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D">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E">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Trade Effluent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6F">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Optional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0">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1">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Payment terms (optional)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2">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Optional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3">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4">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Rebate (optional)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5">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Optional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76">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78">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20%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9">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A">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Account Management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B">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C">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D">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Billing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E">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7F">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0">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Data Management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1">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2">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083">
            <w:pPr>
              <w:widowControl w:val="1"/>
              <w:rPr>
                <w:rFonts w:ascii="Times New Roman" w:cs="Times New Roman" w:eastAsia="Times New Roman" w:hAnsi="Times New Roman"/>
                <w:sz w:val="24"/>
                <w:szCs w:val="24"/>
              </w:rPr>
            </w:pPr>
            <w:r w:rsidDel="00000000" w:rsidR="00000000" w:rsidRPr="00000000">
              <w:rPr>
                <w:color w:val="000000"/>
                <w:rtl w:val="0"/>
              </w:rPr>
              <w:t xml:space="preserve">  Metering </w:t>
            </w:r>
            <w:r w:rsidDel="00000000" w:rsidR="00000000" w:rsidRPr="00000000">
              <w:rPr>
                <w:rtl w:val="0"/>
              </w:rPr>
            </w:r>
          </w:p>
          <w:p w:rsidR="00000000" w:rsidDel="00000000" w:rsidP="00000000" w:rsidRDefault="00000000" w:rsidRPr="00000000" w14:paraId="00000084">
            <w:pPr>
              <w:widowControl w:val="1"/>
              <w:rPr>
                <w:rFonts w:ascii="Times New Roman" w:cs="Times New Roman" w:eastAsia="Times New Roman" w:hAnsi="Times New Roman"/>
                <w:sz w:val="24"/>
                <w:szCs w:val="24"/>
              </w:rPr>
            </w:pPr>
            <w:r w:rsidDel="00000000" w:rsidR="00000000" w:rsidRPr="00000000">
              <w:rPr>
                <w:color w:val="000000"/>
                <w:rtl w:val="0"/>
              </w:rPr>
              <w:t xml:space="preserve">  (to include AMR where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5">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6">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J</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87">
            <w:pPr>
              <w:widowControl w:val="1"/>
              <w:spacing w:after="240" w:lineRule="auto"/>
              <w:jc w:val="both"/>
              <w:rPr>
                <w:rFonts w:ascii="Times New Roman" w:cs="Times New Roman" w:eastAsia="Times New Roman" w:hAnsi="Times New Roman"/>
                <w:sz w:val="24"/>
                <w:szCs w:val="24"/>
              </w:rPr>
            </w:pPr>
            <w:r w:rsidDel="00000000" w:rsidR="00000000" w:rsidRPr="00000000">
              <w:rPr>
                <w:color w:val="000000"/>
                <w:rtl w:val="0"/>
              </w:rPr>
              <w:t xml:space="preserve">  Switching Process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8">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9">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08A">
            <w:pPr>
              <w:widowControl w:val="1"/>
              <w:spacing w:after="240" w:lineRule="auto"/>
              <w:jc w:val="both"/>
              <w:rPr>
                <w:rFonts w:ascii="Times New Roman" w:cs="Times New Roman" w:eastAsia="Times New Roman" w:hAnsi="Times New Roman"/>
                <w:sz w:val="24"/>
                <w:szCs w:val="24"/>
              </w:rPr>
            </w:pPr>
            <w:r w:rsidDel="00000000" w:rsidR="00000000" w:rsidRPr="00000000">
              <w:rPr>
                <w:color w:val="000000"/>
                <w:rtl w:val="0"/>
              </w:rPr>
              <w:t xml:space="preserve">  Innovation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8B">
            <w:pPr>
              <w:widowControl w:val="1"/>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C">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D">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F">
      <w:pPr>
        <w:widowControl w:val="1"/>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widowControl w:val="1"/>
        <w:rPr>
          <w:rFonts w:ascii="Times New Roman" w:cs="Times New Roman" w:eastAsia="Times New Roman" w:hAnsi="Times New Roman"/>
          <w:sz w:val="24"/>
          <w:szCs w:val="24"/>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27"/>
        <w:gridCol w:w="2093"/>
        <w:gridCol w:w="5696"/>
        <w:tblGridChange w:id="0">
          <w:tblGrid>
            <w:gridCol w:w="1227"/>
            <w:gridCol w:w="2093"/>
            <w:gridCol w:w="5696"/>
          </w:tblGrid>
        </w:tblGridChange>
      </w:tblGrid>
      <w:tr>
        <w:trPr>
          <w:cantSplit w:val="0"/>
          <w:trHeight w:val="667" w:hRule="atLeast"/>
          <w:tblHeader w:val="0"/>
        </w:trPr>
        <w:tc>
          <w:tcPr>
            <w:gridSpan w:val="3"/>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91">
            <w:pPr>
              <w:widowControl w:val="1"/>
              <w:spacing w:before="240" w:lineRule="auto"/>
              <w:ind w:left="142" w:firstLine="0"/>
              <w:jc w:val="center"/>
              <w:rPr>
                <w:rFonts w:ascii="Times New Roman" w:cs="Times New Roman" w:eastAsia="Times New Roman" w:hAnsi="Times New Roman"/>
                <w:sz w:val="24"/>
                <w:szCs w:val="24"/>
              </w:rPr>
            </w:pPr>
            <w:r w:rsidDel="00000000" w:rsidR="00000000" w:rsidRPr="00000000">
              <w:rPr>
                <w:b w:val="1"/>
                <w:color w:val="000000"/>
                <w:sz w:val="24"/>
                <w:szCs w:val="24"/>
                <w:rtl w:val="0"/>
              </w:rPr>
              <w:t xml:space="preserve">LOT 2 Ancillary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94">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95">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96">
            <w:pPr>
              <w:widowControl w:val="1"/>
              <w:spacing w:before="240" w:lineRule="auto"/>
              <w:ind w:left="142"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Percentage Weightings (or rank order of importance where applicable) - to be set by the Contracting Authority conducting the further competition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97">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Price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99">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20%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A">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B">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Price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9C">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9D">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9F">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80%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0">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1">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Project management process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2">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3">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4">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Baselining Methodology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5">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6">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7">
            <w:pPr>
              <w:widowControl w:val="1"/>
              <w:spacing w:after="120" w:before="240" w:lineRule="auto"/>
              <w:rPr>
                <w:rFonts w:ascii="Times New Roman" w:cs="Times New Roman" w:eastAsia="Times New Roman" w:hAnsi="Times New Roman"/>
                <w:sz w:val="24"/>
                <w:szCs w:val="24"/>
              </w:rPr>
            </w:pPr>
            <w:r w:rsidDel="00000000" w:rsidR="00000000" w:rsidRPr="00000000">
              <w:rPr>
                <w:color w:val="000000"/>
                <w:rtl w:val="0"/>
              </w:rPr>
              <w:t xml:space="preserve">   Monitoring and control systems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8">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9">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0AA">
            <w:pPr>
              <w:widowControl w:val="1"/>
              <w:rPr>
                <w:rFonts w:ascii="Times New Roman" w:cs="Times New Roman" w:eastAsia="Times New Roman" w:hAnsi="Times New Roman"/>
                <w:sz w:val="24"/>
                <w:szCs w:val="24"/>
              </w:rPr>
            </w:pPr>
            <w:r w:rsidDel="00000000" w:rsidR="00000000" w:rsidRPr="00000000">
              <w:rPr>
                <w:color w:val="000000"/>
                <w:rtl w:val="0"/>
              </w:rPr>
              <w:t xml:space="preserve">  Verification of savings process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B">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C">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D">
            <w:pPr>
              <w:widowControl w:val="1"/>
              <w:spacing w:after="240" w:lineRule="auto"/>
              <w:rPr>
                <w:rFonts w:ascii="Times New Roman" w:cs="Times New Roman" w:eastAsia="Times New Roman" w:hAnsi="Times New Roman"/>
                <w:sz w:val="24"/>
                <w:szCs w:val="24"/>
              </w:rPr>
            </w:pPr>
            <w:r w:rsidDel="00000000" w:rsidR="00000000" w:rsidRPr="00000000">
              <w:rPr>
                <w:color w:val="000000"/>
                <w:rtl w:val="0"/>
              </w:rPr>
              <w:t xml:space="preserve">  Account management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E">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AF">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0B0">
            <w:pPr>
              <w:widowControl w:val="1"/>
              <w:spacing w:after="240" w:lineRule="auto"/>
              <w:rPr>
                <w:rFonts w:ascii="Times New Roman" w:cs="Times New Roman" w:eastAsia="Times New Roman" w:hAnsi="Times New Roman"/>
                <w:sz w:val="24"/>
                <w:szCs w:val="24"/>
              </w:rPr>
            </w:pPr>
            <w:r w:rsidDel="00000000" w:rsidR="00000000" w:rsidRPr="00000000">
              <w:rPr>
                <w:color w:val="000000"/>
                <w:rtl w:val="0"/>
              </w:rPr>
              <w:t xml:space="preserve">  Service Management Standards (i.e ISO)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B1">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Optional</w:t>
            </w:r>
            <w:r w:rsidDel="00000000" w:rsidR="00000000" w:rsidRPr="00000000">
              <w:rPr>
                <w:rtl w:val="0"/>
              </w:rPr>
            </w:r>
          </w:p>
        </w:tc>
      </w:tr>
    </w:tbl>
    <w:p w:rsidR="00000000" w:rsidDel="00000000" w:rsidP="00000000" w:rsidRDefault="00000000" w:rsidRPr="00000000" w14:paraId="000000B2">
      <w:pPr>
        <w:widowControl w:val="1"/>
        <w:spacing w:after="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0B3">
      <w:pPr>
        <w:widowControl w:val="1"/>
        <w:spacing w:after="240" w:lineRule="auto"/>
        <w:jc w:val="both"/>
        <w:rPr>
          <w:color w:val="000000"/>
          <w:sz w:val="24"/>
          <w:szCs w:val="24"/>
        </w:rPr>
      </w:pPr>
      <w:r w:rsidDel="00000000" w:rsidR="00000000" w:rsidRPr="00000000">
        <w:rPr>
          <w:rtl w:val="0"/>
        </w:rPr>
      </w:r>
    </w:p>
    <w:p w:rsidR="00000000" w:rsidDel="00000000" w:rsidP="00000000" w:rsidRDefault="00000000" w:rsidRPr="00000000" w14:paraId="000000B4">
      <w:pPr>
        <w:widowControl w:val="1"/>
        <w:spacing w:after="240" w:lineRule="auto"/>
        <w:jc w:val="both"/>
        <w:rPr>
          <w:color w:val="000000"/>
          <w:sz w:val="24"/>
          <w:szCs w:val="24"/>
        </w:rPr>
      </w:pPr>
      <w:r w:rsidDel="00000000" w:rsidR="00000000" w:rsidRPr="00000000">
        <w:rPr>
          <w:rtl w:val="0"/>
        </w:rPr>
      </w:r>
    </w:p>
    <w:p w:rsidR="00000000" w:rsidDel="00000000" w:rsidP="00000000" w:rsidRDefault="00000000" w:rsidRPr="00000000" w14:paraId="000000B5">
      <w:pPr>
        <w:widowControl w:val="1"/>
        <w:spacing w:after="240" w:lineRule="auto"/>
        <w:jc w:val="both"/>
        <w:rPr>
          <w:color w:val="000000"/>
          <w:sz w:val="24"/>
          <w:szCs w:val="24"/>
        </w:rPr>
      </w:pPr>
      <w:r w:rsidDel="00000000" w:rsidR="00000000" w:rsidRPr="00000000">
        <w:rPr>
          <w:rtl w:val="0"/>
        </w:rPr>
      </w:r>
    </w:p>
    <w:p w:rsidR="00000000" w:rsidDel="00000000" w:rsidP="00000000" w:rsidRDefault="00000000" w:rsidRPr="00000000" w14:paraId="000000B6">
      <w:pPr>
        <w:widowControl w:val="1"/>
        <w:spacing w:after="240" w:lineRule="auto"/>
        <w:jc w:val="both"/>
        <w:rPr>
          <w:color w:val="202124"/>
          <w:sz w:val="24"/>
          <w:szCs w:val="24"/>
          <w:highlight w:val="white"/>
        </w:rPr>
      </w:pPr>
      <w:r w:rsidDel="00000000" w:rsidR="00000000" w:rsidRPr="00000000">
        <w:rPr>
          <w:color w:val="202124"/>
          <w:sz w:val="24"/>
          <w:szCs w:val="24"/>
          <w:highlight w:val="white"/>
          <w:rtl w:val="0"/>
        </w:rPr>
        <w:t xml:space="preserve">For Lot 3 only: The Buyer to determine weightings for Water Supply and Sewerage Services  (Lot 1 Services) versus  Ancillary Services  (Lot 2 Services) for example:</w:t>
      </w:r>
    </w:p>
    <w:p w:rsidR="00000000" w:rsidDel="00000000" w:rsidP="00000000" w:rsidRDefault="00000000" w:rsidRPr="00000000" w14:paraId="000000B7">
      <w:pPr>
        <w:widowControl w:val="1"/>
        <w:spacing w:after="240" w:lineRule="auto"/>
        <w:jc w:val="both"/>
        <w:rPr>
          <w:sz w:val="28"/>
          <w:szCs w:val="28"/>
        </w:rPr>
      </w:pPr>
      <w:r w:rsidDel="00000000" w:rsidR="00000000" w:rsidRPr="00000000">
        <w:rPr>
          <w:color w:val="202124"/>
          <w:sz w:val="24"/>
          <w:szCs w:val="24"/>
          <w:highlight w:val="white"/>
          <w:rtl w:val="0"/>
        </w:rPr>
        <w:t xml:space="preserve"> Lot 1 Services 50:50 Lot 2 Services</w:t>
      </w:r>
      <w:r w:rsidDel="00000000" w:rsidR="00000000" w:rsidRPr="00000000">
        <w:rPr>
          <w:rtl w:val="0"/>
        </w:rPr>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31"/>
        <w:gridCol w:w="2733"/>
        <w:gridCol w:w="5052"/>
        <w:tblGridChange w:id="0">
          <w:tblGrid>
            <w:gridCol w:w="1231"/>
            <w:gridCol w:w="2733"/>
            <w:gridCol w:w="5052"/>
          </w:tblGrid>
        </w:tblGridChange>
      </w:tblGrid>
      <w:tr>
        <w:trPr>
          <w:cantSplit w:val="0"/>
          <w:trHeight w:val="667" w:hRule="atLeast"/>
          <w:tblHeader w:val="0"/>
        </w:trPr>
        <w:tc>
          <w:tcPr>
            <w:gridSpan w:val="3"/>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B8">
            <w:pPr>
              <w:widowControl w:val="1"/>
              <w:spacing w:before="240" w:lineRule="auto"/>
              <w:ind w:left="142" w:firstLine="0"/>
              <w:jc w:val="center"/>
              <w:rPr>
                <w:rFonts w:ascii="Times New Roman" w:cs="Times New Roman" w:eastAsia="Times New Roman" w:hAnsi="Times New Roman"/>
                <w:sz w:val="24"/>
                <w:szCs w:val="24"/>
              </w:rPr>
            </w:pPr>
            <w:r w:rsidDel="00000000" w:rsidR="00000000" w:rsidRPr="00000000">
              <w:rPr>
                <w:b w:val="1"/>
                <w:color w:val="000000"/>
                <w:sz w:val="24"/>
                <w:szCs w:val="24"/>
                <w:rtl w:val="0"/>
              </w:rPr>
              <w:t xml:space="preserve">LOT 3 Water Supply and Sewerage Services and Ancillary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BB">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BC">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BD">
            <w:pPr>
              <w:widowControl w:val="1"/>
              <w:spacing w:before="240" w:lineRule="auto"/>
              <w:ind w:left="142"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Percentage Weightings (or rank order of importance where applicable) - to be set by the Contracting Authority conducting the further competition </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fff2cc" w:val="clear"/>
            <w:tcMar>
              <w:top w:w="0.0" w:type="dxa"/>
              <w:left w:w="115.0" w:type="dxa"/>
              <w:bottom w:w="0.0" w:type="dxa"/>
              <w:right w:w="115.0" w:type="dxa"/>
            </w:tcMar>
          </w:tcPr>
          <w:p w:rsidR="00000000" w:rsidDel="00000000" w:rsidP="00000000" w:rsidRDefault="00000000" w:rsidRPr="00000000" w14:paraId="000000BE">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b w:val="1"/>
                <w:color w:val="000000"/>
                <w:sz w:val="24"/>
                <w:szCs w:val="24"/>
                <w:rtl w:val="0"/>
              </w:rPr>
              <w:t xml:space="preserve">Section A: Water Supply and Sewerage Services</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C1">
            <w:pPr>
              <w:widowControl w:val="1"/>
              <w:spacing w:after="120" w:before="240" w:lineRule="auto"/>
              <w:rPr>
                <w:rFonts w:ascii="Times New Roman" w:cs="Times New Roman" w:eastAsia="Times New Roman" w:hAnsi="Times New Roman"/>
                <w:sz w:val="24"/>
                <w:szCs w:val="24"/>
              </w:rPr>
            </w:pPr>
            <w:r w:rsidDel="00000000" w:rsidR="00000000" w:rsidRPr="00000000">
              <w:rPr>
                <w:color w:val="000000"/>
                <w:rtl w:val="0"/>
              </w:rPr>
              <w:t xml:space="preserve">  Price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C3">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20%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4">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5">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Supply of Water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6">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At least 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7">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8">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Waste Water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9">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At least 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A">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B">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Trade Effluent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C">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Optional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D">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E">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Payment terms (optional)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CF">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Optional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0">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1">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Rebate (optional)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2">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Optional </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D3">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D5">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80%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6">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F</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7">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Account Management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8">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9">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A">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Billing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B">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C">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D">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Data Management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E">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DF">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0E0">
            <w:pPr>
              <w:widowControl w:val="1"/>
              <w:rPr>
                <w:rFonts w:ascii="Times New Roman" w:cs="Times New Roman" w:eastAsia="Times New Roman" w:hAnsi="Times New Roman"/>
                <w:sz w:val="24"/>
                <w:szCs w:val="24"/>
              </w:rPr>
            </w:pPr>
            <w:r w:rsidDel="00000000" w:rsidR="00000000" w:rsidRPr="00000000">
              <w:rPr>
                <w:color w:val="000000"/>
                <w:rtl w:val="0"/>
              </w:rPr>
              <w:t xml:space="preserve">  Metering </w:t>
            </w:r>
            <w:r w:rsidDel="00000000" w:rsidR="00000000" w:rsidRPr="00000000">
              <w:rPr>
                <w:rtl w:val="0"/>
              </w:rPr>
            </w:r>
          </w:p>
          <w:p w:rsidR="00000000" w:rsidDel="00000000" w:rsidP="00000000" w:rsidRDefault="00000000" w:rsidRPr="00000000" w14:paraId="000000E1">
            <w:pPr>
              <w:widowControl w:val="1"/>
              <w:rPr>
                <w:rFonts w:ascii="Times New Roman" w:cs="Times New Roman" w:eastAsia="Times New Roman" w:hAnsi="Times New Roman"/>
                <w:sz w:val="24"/>
                <w:szCs w:val="24"/>
              </w:rPr>
            </w:pPr>
            <w:r w:rsidDel="00000000" w:rsidR="00000000" w:rsidRPr="00000000">
              <w:rPr>
                <w:color w:val="000000"/>
                <w:rtl w:val="0"/>
              </w:rPr>
              <w:t xml:space="preserve">  (to include AMR where    required)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2">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3">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J</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E4">
            <w:pPr>
              <w:widowControl w:val="1"/>
              <w:spacing w:after="240" w:lineRule="auto"/>
              <w:jc w:val="both"/>
              <w:rPr>
                <w:rFonts w:ascii="Times New Roman" w:cs="Times New Roman" w:eastAsia="Times New Roman" w:hAnsi="Times New Roman"/>
                <w:sz w:val="24"/>
                <w:szCs w:val="24"/>
              </w:rPr>
            </w:pPr>
            <w:r w:rsidDel="00000000" w:rsidR="00000000" w:rsidRPr="00000000">
              <w:rPr>
                <w:color w:val="000000"/>
                <w:rtl w:val="0"/>
              </w:rPr>
              <w:t xml:space="preserve">  Switching Process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5">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6">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0E7">
            <w:pPr>
              <w:widowControl w:val="1"/>
              <w:spacing w:after="240" w:lineRule="auto"/>
              <w:jc w:val="both"/>
              <w:rPr>
                <w:rFonts w:ascii="Times New Roman" w:cs="Times New Roman" w:eastAsia="Times New Roman" w:hAnsi="Times New Roman"/>
                <w:sz w:val="24"/>
                <w:szCs w:val="24"/>
              </w:rPr>
            </w:pPr>
            <w:r w:rsidDel="00000000" w:rsidR="00000000" w:rsidRPr="00000000">
              <w:rPr>
                <w:color w:val="000000"/>
                <w:rtl w:val="0"/>
              </w:rPr>
              <w:t xml:space="preserve">  Innovation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E8">
            <w:pPr>
              <w:widowControl w:val="1"/>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E9">
      <w:pPr>
        <w:widowControl w:val="1"/>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A">
      <w:pPr>
        <w:widowControl w:val="1"/>
        <w:spacing w:after="240" w:lineRule="auto"/>
        <w:rPr>
          <w:rFonts w:ascii="Times New Roman" w:cs="Times New Roman" w:eastAsia="Times New Roman" w:hAnsi="Times New Roman"/>
          <w:sz w:val="24"/>
          <w:szCs w:val="24"/>
        </w:rPr>
      </w:pP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27"/>
        <w:gridCol w:w="2596"/>
        <w:gridCol w:w="5193"/>
        <w:tblGridChange w:id="0">
          <w:tblGrid>
            <w:gridCol w:w="1227"/>
            <w:gridCol w:w="2596"/>
            <w:gridCol w:w="5193"/>
          </w:tblGrid>
        </w:tblGridChange>
      </w:tblGrid>
      <w:tr>
        <w:trPr>
          <w:cantSplit w:val="0"/>
          <w:trHeight w:val="667" w:hRule="atLeast"/>
          <w:tblHeader w:val="0"/>
        </w:trPr>
        <w:tc>
          <w:tcPr>
            <w:gridSpan w:val="3"/>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EB">
            <w:pPr>
              <w:widowControl w:val="1"/>
              <w:spacing w:before="240" w:lineRule="auto"/>
              <w:ind w:left="142" w:firstLine="0"/>
              <w:jc w:val="center"/>
              <w:rPr>
                <w:rFonts w:ascii="Times New Roman" w:cs="Times New Roman" w:eastAsia="Times New Roman" w:hAnsi="Times New Roman"/>
                <w:sz w:val="24"/>
                <w:szCs w:val="24"/>
              </w:rPr>
            </w:pPr>
            <w:r w:rsidDel="00000000" w:rsidR="00000000" w:rsidRPr="00000000">
              <w:rPr>
                <w:b w:val="1"/>
                <w:color w:val="000000"/>
                <w:sz w:val="24"/>
                <w:szCs w:val="24"/>
                <w:rtl w:val="0"/>
              </w:rPr>
              <w:t xml:space="preserve">LOT 3 Water Supply and Sewerage Services and Ancillary Services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EE">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EF">
            <w:pPr>
              <w:widowControl w:val="1"/>
              <w:spacing w:before="240" w:lineRule="auto"/>
              <w:ind w:left="142" w:firstLine="0"/>
              <w:rPr>
                <w:rFonts w:ascii="Times New Roman" w:cs="Times New Roman" w:eastAsia="Times New Roman" w:hAnsi="Times New Roman"/>
                <w:sz w:val="24"/>
                <w:szCs w:val="24"/>
              </w:rPr>
            </w:pPr>
            <w:r w:rsidDel="00000000" w:rsidR="00000000" w:rsidRPr="00000000">
              <w:rPr>
                <w:b w:val="1"/>
                <w:color w:val="000000"/>
                <w:rtl w:val="0"/>
              </w:rPr>
              <w:t xml:space="preserve">Criteria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Mar>
              <w:top w:w="0.0" w:type="dxa"/>
              <w:left w:w="115.0" w:type="dxa"/>
              <w:bottom w:w="0.0" w:type="dxa"/>
              <w:right w:w="115.0" w:type="dxa"/>
            </w:tcMar>
          </w:tcPr>
          <w:p w:rsidR="00000000" w:rsidDel="00000000" w:rsidP="00000000" w:rsidRDefault="00000000" w:rsidRPr="00000000" w14:paraId="000000F0">
            <w:pPr>
              <w:widowControl w:val="1"/>
              <w:spacing w:before="240" w:lineRule="auto"/>
              <w:ind w:left="142" w:firstLine="0"/>
              <w:jc w:val="both"/>
              <w:rPr>
                <w:rFonts w:ascii="Times New Roman" w:cs="Times New Roman" w:eastAsia="Times New Roman" w:hAnsi="Times New Roman"/>
                <w:sz w:val="24"/>
                <w:szCs w:val="24"/>
              </w:rPr>
            </w:pPr>
            <w:r w:rsidDel="00000000" w:rsidR="00000000" w:rsidRPr="00000000">
              <w:rPr>
                <w:b w:val="1"/>
                <w:color w:val="000000"/>
                <w:rtl w:val="0"/>
              </w:rPr>
              <w:t xml:space="preserve">Percentage Weightings (or rank order of importance where applicable) - to be set by the Contracting Authority conducting the further competition </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fff2cc" w:val="clear"/>
            <w:tcMar>
              <w:top w:w="0.0" w:type="dxa"/>
              <w:left w:w="115.0" w:type="dxa"/>
              <w:bottom w:w="0.0" w:type="dxa"/>
              <w:right w:w="115.0" w:type="dxa"/>
            </w:tcMar>
          </w:tcPr>
          <w:p w:rsidR="00000000" w:rsidDel="00000000" w:rsidP="00000000" w:rsidRDefault="00000000" w:rsidRPr="00000000" w14:paraId="000000F1">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b w:val="1"/>
                <w:color w:val="000000"/>
                <w:sz w:val="24"/>
                <w:szCs w:val="24"/>
                <w:rtl w:val="0"/>
              </w:rPr>
              <w:t xml:space="preserve">Section B: Ancillary Services</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F4">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Price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F6">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20%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F7">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F8">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Price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F9">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FA">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Quality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tcMar>
              <w:top w:w="0.0" w:type="dxa"/>
              <w:left w:w="115.0" w:type="dxa"/>
              <w:bottom w:w="0.0" w:type="dxa"/>
              <w:right w:w="115.0" w:type="dxa"/>
            </w:tcMar>
          </w:tcPr>
          <w:p w:rsidR="00000000" w:rsidDel="00000000" w:rsidP="00000000" w:rsidRDefault="00000000" w:rsidRPr="00000000" w14:paraId="000000FC">
            <w:pPr>
              <w:widowControl w:val="1"/>
              <w:spacing w:after="120" w:before="240" w:lineRule="auto"/>
              <w:ind w:left="142" w:firstLine="0"/>
              <w:jc w:val="both"/>
              <w:rPr>
                <w:rFonts w:ascii="Times New Roman" w:cs="Times New Roman" w:eastAsia="Times New Roman" w:hAnsi="Times New Roman"/>
                <w:sz w:val="24"/>
                <w:szCs w:val="24"/>
              </w:rPr>
            </w:pPr>
            <w:r w:rsidDel="00000000" w:rsidR="00000000" w:rsidRPr="00000000">
              <w:rPr>
                <w:color w:val="000000"/>
                <w:rtl w:val="0"/>
              </w:rPr>
              <w:t xml:space="preserve">80% (+/- 10%)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FD">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FE">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Project management process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FF">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0">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1">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Baselining Methodology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2">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3">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4">
            <w:pPr>
              <w:widowControl w:val="1"/>
              <w:spacing w:after="120" w:before="240" w:lineRule="auto"/>
              <w:rPr>
                <w:rFonts w:ascii="Times New Roman" w:cs="Times New Roman" w:eastAsia="Times New Roman" w:hAnsi="Times New Roman"/>
                <w:sz w:val="24"/>
                <w:szCs w:val="24"/>
              </w:rPr>
            </w:pPr>
            <w:r w:rsidDel="00000000" w:rsidR="00000000" w:rsidRPr="00000000">
              <w:rPr>
                <w:color w:val="000000"/>
                <w:rtl w:val="0"/>
              </w:rPr>
              <w:t xml:space="preserve">   Monitoring and control systems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5">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6">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107">
            <w:pPr>
              <w:widowControl w:val="1"/>
              <w:rPr>
                <w:rFonts w:ascii="Times New Roman" w:cs="Times New Roman" w:eastAsia="Times New Roman" w:hAnsi="Times New Roman"/>
                <w:sz w:val="24"/>
                <w:szCs w:val="24"/>
              </w:rPr>
            </w:pPr>
            <w:r w:rsidDel="00000000" w:rsidR="00000000" w:rsidRPr="00000000">
              <w:rPr>
                <w:color w:val="000000"/>
                <w:rtl w:val="0"/>
              </w:rPr>
              <w:t xml:space="preserve">  Verification of savings process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8">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9">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Q</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A">
            <w:pPr>
              <w:widowControl w:val="1"/>
              <w:spacing w:after="240" w:lineRule="auto"/>
              <w:rPr>
                <w:rFonts w:ascii="Times New Roman" w:cs="Times New Roman" w:eastAsia="Times New Roman" w:hAnsi="Times New Roman"/>
                <w:sz w:val="24"/>
                <w:szCs w:val="24"/>
              </w:rPr>
            </w:pPr>
            <w:r w:rsidDel="00000000" w:rsidR="00000000" w:rsidRPr="00000000">
              <w:rPr>
                <w:color w:val="000000"/>
                <w:rtl w:val="0"/>
              </w:rPr>
              <w:t xml:space="preserve">  Account management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B">
            <w:pPr>
              <w:widowControl w:val="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C">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5.0" w:type="dxa"/>
              <w:bottom w:w="0.0" w:type="dxa"/>
              <w:right w:w="115.0" w:type="dxa"/>
            </w:tcMar>
            <w:vAlign w:val="center"/>
          </w:tcPr>
          <w:p w:rsidR="00000000" w:rsidDel="00000000" w:rsidP="00000000" w:rsidRDefault="00000000" w:rsidRPr="00000000" w14:paraId="0000010D">
            <w:pPr>
              <w:widowControl w:val="1"/>
              <w:spacing w:after="240" w:lineRule="auto"/>
              <w:rPr>
                <w:rFonts w:ascii="Times New Roman" w:cs="Times New Roman" w:eastAsia="Times New Roman" w:hAnsi="Times New Roman"/>
                <w:sz w:val="24"/>
                <w:szCs w:val="24"/>
              </w:rPr>
            </w:pPr>
            <w:r w:rsidDel="00000000" w:rsidR="00000000" w:rsidRPr="00000000">
              <w:rPr>
                <w:color w:val="000000"/>
                <w:rtl w:val="0"/>
              </w:rPr>
              <w:t xml:space="preserve">  Service Management Standards (i.e ISO)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10E">
            <w:pPr>
              <w:widowControl w:val="1"/>
              <w:spacing w:after="120" w:before="240" w:lineRule="auto"/>
              <w:ind w:left="142" w:firstLine="0"/>
              <w:rPr>
                <w:rFonts w:ascii="Times New Roman" w:cs="Times New Roman" w:eastAsia="Times New Roman" w:hAnsi="Times New Roman"/>
                <w:sz w:val="24"/>
                <w:szCs w:val="24"/>
              </w:rPr>
            </w:pPr>
            <w:r w:rsidDel="00000000" w:rsidR="00000000" w:rsidRPr="00000000">
              <w:rPr>
                <w:color w:val="000000"/>
                <w:rtl w:val="0"/>
              </w:rPr>
              <w:t xml:space="preserve">Optional</w:t>
            </w:r>
            <w:r w:rsidDel="00000000" w:rsidR="00000000" w:rsidRPr="00000000">
              <w:rPr>
                <w:rtl w:val="0"/>
              </w:rPr>
            </w:r>
          </w:p>
        </w:tc>
      </w:tr>
    </w:tbl>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11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E">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2"/>
        <w:szCs w:val="22"/>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QulKiNWT01y+PTklRo/AdRBq1Q==">CgMxLjAyCmlkLjMwajB6bGwyCGguZ2pkZ3hzMgloLjFmb2I5dGUyCWguM3pueXNoNzIJaC4yZXQ5MnAwMghoLnR5amN3dDIJaC4zZHk2dmttMgloLjF0M2g1c2YyCWguNGQzNG9nODIJaC4yczhleW8xMgloLjE3ZHA4dnUyCWguM3JkY3JqbjgAciExV1BpTGZWenRhRXBnRktibF9RZkVNWVc2OVREa3VVdnI=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